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ausimple3"/>
        <w:tblW w:w="0" w:type="auto"/>
        <w:tblInd w:w="0" w:type="dxa"/>
        <w:tblLook w:val="04A0" w:firstRow="1" w:lastRow="0" w:firstColumn="1" w:lastColumn="0" w:noHBand="0" w:noVBand="1"/>
      </w:tblPr>
      <w:tblGrid>
        <w:gridCol w:w="4510"/>
        <w:gridCol w:w="1744"/>
        <w:gridCol w:w="1809"/>
        <w:gridCol w:w="1009"/>
      </w:tblGrid>
      <w:tr w:rsidR="00FD7B4E" w14:paraId="335AF34C" w14:textId="77777777" w:rsidTr="00C56B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60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0072134C" w14:textId="77777777" w:rsidR="00FD7B4E" w:rsidRDefault="00FD7B4E" w:rsidP="00C56BB0">
            <w:pPr>
              <w:contextualSpacing/>
              <w:rPr>
                <w:b w:val="0"/>
                <w:bCs w:val="0"/>
              </w:rPr>
            </w:pPr>
            <w:r>
              <w:rPr>
                <w:caps w:val="0"/>
              </w:rPr>
              <w:t>Supplemental Table 1. Characteristics of patients undergoing inguinal lymph node dissection</w:t>
            </w:r>
          </w:p>
        </w:tc>
      </w:tr>
      <w:tr w:rsidR="00FD7B4E" w14:paraId="69A5D3D9" w14:textId="77777777" w:rsidTr="00C5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34764A" w14:textId="77777777" w:rsidR="00FD7B4E" w:rsidRDefault="00FD7B4E" w:rsidP="00C56BB0">
            <w:pPr>
              <w:contextualSpacing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|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EAAC565" w14:textId="77777777" w:rsidR="00FD7B4E" w:rsidRDefault="00FD7B4E" w:rsidP="00C56BB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Low SMM</w:t>
            </w:r>
          </w:p>
          <w:p w14:paraId="08638105" w14:textId="77777777" w:rsidR="00FD7B4E" w:rsidRDefault="00FD7B4E" w:rsidP="00C56BB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(n = 12)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961AC" w14:textId="77777777" w:rsidR="00FD7B4E" w:rsidRDefault="00FD7B4E" w:rsidP="00C56BB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Normal SMM</w:t>
            </w:r>
          </w:p>
          <w:p w14:paraId="3C0500EA" w14:textId="77777777" w:rsidR="00FD7B4E" w:rsidRDefault="00FD7B4E" w:rsidP="00C56BB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(n = 10)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0ED8C" w14:textId="77777777" w:rsidR="00FD7B4E" w:rsidRDefault="00FD7B4E" w:rsidP="00C56BB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  <w:iCs/>
              </w:rPr>
              <w:t>p</w:t>
            </w:r>
            <w:r>
              <w:t xml:space="preserve"> value</w:t>
            </w:r>
          </w:p>
        </w:tc>
      </w:tr>
      <w:tr w:rsidR="00FD7B4E" w14:paraId="77624CFF" w14:textId="77777777" w:rsidTr="00C56B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BD0A52" w14:textId="77777777" w:rsidR="00FD7B4E" w:rsidRDefault="00FD7B4E" w:rsidP="00C56BB0">
            <w:pPr>
              <w:contextualSpacing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Median age, years (IQR)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441A124" w14:textId="77777777" w:rsidR="00FD7B4E" w:rsidRPr="00236199" w:rsidRDefault="00FD7B4E" w:rsidP="00C56BB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36199">
              <w:rPr>
                <w:b/>
              </w:rPr>
              <w:t>72 (65 – 76)</w:t>
            </w:r>
          </w:p>
        </w:tc>
        <w:tc>
          <w:tcPr>
            <w:tcW w:w="1861" w:type="dxa"/>
            <w:shd w:val="clear" w:color="auto" w:fill="auto"/>
            <w:hideMark/>
          </w:tcPr>
          <w:p w14:paraId="64CFA224" w14:textId="77777777" w:rsidR="00FD7B4E" w:rsidRPr="00236199" w:rsidRDefault="00FD7B4E" w:rsidP="00C56BB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36199">
              <w:rPr>
                <w:b/>
              </w:rPr>
              <w:t>56 (52 – 64)</w:t>
            </w:r>
          </w:p>
        </w:tc>
        <w:tc>
          <w:tcPr>
            <w:tcW w:w="1019" w:type="dxa"/>
            <w:shd w:val="clear" w:color="auto" w:fill="auto"/>
            <w:hideMark/>
          </w:tcPr>
          <w:p w14:paraId="0C8C2489" w14:textId="77777777" w:rsidR="00FD7B4E" w:rsidRPr="00236199" w:rsidRDefault="00FD7B4E" w:rsidP="00C56BB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36199">
              <w:rPr>
                <w:b/>
              </w:rPr>
              <w:t>0.003</w:t>
            </w:r>
          </w:p>
        </w:tc>
      </w:tr>
      <w:tr w:rsidR="00FD7B4E" w14:paraId="7567BF22" w14:textId="77777777" w:rsidTr="00C5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30B971" w14:textId="77777777" w:rsidR="00FD7B4E" w:rsidRDefault="00FD7B4E" w:rsidP="00C56BB0">
            <w:pPr>
              <w:contextualSpacing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Median SMI, cm</w:t>
            </w:r>
            <w:r>
              <w:rPr>
                <w:b w:val="0"/>
                <w:bCs w:val="0"/>
                <w:caps w:val="0"/>
                <w:vertAlign w:val="superscript"/>
              </w:rPr>
              <w:t>2</w:t>
            </w:r>
            <w:r>
              <w:rPr>
                <w:b w:val="0"/>
                <w:bCs w:val="0"/>
                <w:caps w:val="0"/>
              </w:rPr>
              <w:t>/m</w:t>
            </w:r>
            <w:r>
              <w:rPr>
                <w:b w:val="0"/>
                <w:bCs w:val="0"/>
                <w:caps w:val="0"/>
                <w:vertAlign w:val="superscript"/>
              </w:rPr>
              <w:t xml:space="preserve">2 </w:t>
            </w:r>
            <w:r>
              <w:rPr>
                <w:b w:val="0"/>
                <w:bCs w:val="0"/>
                <w:caps w:val="0"/>
              </w:rPr>
              <w:t>(IQR)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46DF9F" w14:textId="77777777" w:rsidR="00FD7B4E" w:rsidRPr="00236199" w:rsidRDefault="00FD7B4E" w:rsidP="00C56BB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36199">
              <w:rPr>
                <w:b/>
              </w:rPr>
              <w:t>47.8 (44.6 – 49.7)</w:t>
            </w:r>
          </w:p>
        </w:tc>
        <w:tc>
          <w:tcPr>
            <w:tcW w:w="1861" w:type="dxa"/>
            <w:shd w:val="clear" w:color="auto" w:fill="auto"/>
            <w:hideMark/>
          </w:tcPr>
          <w:p w14:paraId="5AFD99BF" w14:textId="77777777" w:rsidR="00FD7B4E" w:rsidRPr="00236199" w:rsidRDefault="00FD7B4E" w:rsidP="00C56BB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36199">
              <w:rPr>
                <w:b/>
              </w:rPr>
              <w:t>64.0 (59.8 – 68.4)</w:t>
            </w:r>
          </w:p>
        </w:tc>
        <w:tc>
          <w:tcPr>
            <w:tcW w:w="1019" w:type="dxa"/>
            <w:shd w:val="clear" w:color="auto" w:fill="auto"/>
            <w:hideMark/>
          </w:tcPr>
          <w:p w14:paraId="4E001D10" w14:textId="77777777" w:rsidR="00FD7B4E" w:rsidRPr="00236199" w:rsidRDefault="00FD7B4E" w:rsidP="00C56BB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36199">
              <w:rPr>
                <w:b/>
              </w:rPr>
              <w:t>&lt;0.001</w:t>
            </w:r>
          </w:p>
        </w:tc>
      </w:tr>
      <w:tr w:rsidR="00FD7B4E" w14:paraId="26DE7AB2" w14:textId="77777777" w:rsidTr="00C56B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1C70C4" w14:textId="77777777" w:rsidR="00FD7B4E" w:rsidRDefault="00FD7B4E" w:rsidP="00C56BB0">
            <w:pPr>
              <w:contextualSpacing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Median FMI, kg/m</w:t>
            </w:r>
            <w:r>
              <w:rPr>
                <w:b w:val="0"/>
                <w:bCs w:val="0"/>
                <w:caps w:val="0"/>
                <w:vertAlign w:val="superscript"/>
              </w:rPr>
              <w:t>2</w:t>
            </w:r>
            <w:r>
              <w:rPr>
                <w:b w:val="0"/>
                <w:bCs w:val="0"/>
                <w:caps w:val="0"/>
              </w:rPr>
              <w:t xml:space="preserve"> (IQR)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61EDAF4" w14:textId="77777777" w:rsidR="00FD7B4E" w:rsidRDefault="00FD7B4E" w:rsidP="00C56BB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9.6 (7.9 – 12.7)</w:t>
            </w:r>
          </w:p>
        </w:tc>
        <w:tc>
          <w:tcPr>
            <w:tcW w:w="1861" w:type="dxa"/>
            <w:shd w:val="clear" w:color="auto" w:fill="auto"/>
            <w:hideMark/>
          </w:tcPr>
          <w:p w14:paraId="48C2B4FB" w14:textId="77777777" w:rsidR="00FD7B4E" w:rsidRDefault="00FD7B4E" w:rsidP="00C56BB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11.43 (9.8 – 13.1)</w:t>
            </w:r>
          </w:p>
        </w:tc>
        <w:tc>
          <w:tcPr>
            <w:tcW w:w="1019" w:type="dxa"/>
            <w:shd w:val="clear" w:color="auto" w:fill="auto"/>
            <w:hideMark/>
          </w:tcPr>
          <w:p w14:paraId="70A5E210" w14:textId="77777777" w:rsidR="00FD7B4E" w:rsidRDefault="00FD7B4E" w:rsidP="00C56BB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0.323</w:t>
            </w:r>
          </w:p>
        </w:tc>
      </w:tr>
      <w:tr w:rsidR="00FD7B4E" w14:paraId="31B6DA5A" w14:textId="77777777" w:rsidTr="00C5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15D44F" w14:textId="77777777" w:rsidR="00FD7B4E" w:rsidRDefault="00FD7B4E" w:rsidP="00C56BB0">
            <w:pPr>
              <w:contextualSpacing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Median BMI, kg/m</w:t>
            </w:r>
            <w:r>
              <w:rPr>
                <w:b w:val="0"/>
                <w:bCs w:val="0"/>
                <w:caps w:val="0"/>
                <w:vertAlign w:val="superscript"/>
              </w:rPr>
              <w:t>2</w:t>
            </w:r>
            <w:r>
              <w:rPr>
                <w:b w:val="0"/>
                <w:bCs w:val="0"/>
                <w:caps w:val="0"/>
              </w:rPr>
              <w:t xml:space="preserve"> (IQR)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07EA5C8" w14:textId="77777777" w:rsidR="00FD7B4E" w:rsidRDefault="00FD7B4E" w:rsidP="00C56BB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25.8 (22.7 – 34.7)</w:t>
            </w:r>
          </w:p>
        </w:tc>
        <w:tc>
          <w:tcPr>
            <w:tcW w:w="1861" w:type="dxa"/>
            <w:shd w:val="clear" w:color="auto" w:fill="auto"/>
            <w:hideMark/>
          </w:tcPr>
          <w:p w14:paraId="35AA9D48" w14:textId="77777777" w:rsidR="00FD7B4E" w:rsidRDefault="00FD7B4E" w:rsidP="00C56BB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32.1 (29.3 – 33.9)</w:t>
            </w:r>
          </w:p>
        </w:tc>
        <w:tc>
          <w:tcPr>
            <w:tcW w:w="1019" w:type="dxa"/>
            <w:shd w:val="clear" w:color="auto" w:fill="auto"/>
            <w:hideMark/>
          </w:tcPr>
          <w:p w14:paraId="6D60B2C3" w14:textId="77777777" w:rsidR="00FD7B4E" w:rsidRDefault="00FD7B4E" w:rsidP="00C56BB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0.176</w:t>
            </w:r>
          </w:p>
        </w:tc>
      </w:tr>
      <w:tr w:rsidR="00FD7B4E" w14:paraId="26064525" w14:textId="77777777" w:rsidTr="00C56B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E37DBE" w14:textId="77777777" w:rsidR="00FD7B4E" w:rsidRDefault="00FD7B4E" w:rsidP="00C56BB0">
            <w:pPr>
              <w:contextualSpacing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ASA Score, n (%)</w:t>
            </w:r>
          </w:p>
          <w:p w14:paraId="085BD411" w14:textId="77777777" w:rsidR="00FD7B4E" w:rsidRDefault="00FD7B4E" w:rsidP="00C56BB0">
            <w:pPr>
              <w:contextualSpacing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 xml:space="preserve">  3</w:t>
            </w:r>
          </w:p>
          <w:p w14:paraId="45E3552F" w14:textId="77777777" w:rsidR="00FD7B4E" w:rsidRDefault="00FD7B4E" w:rsidP="00C56BB0">
            <w:pPr>
              <w:contextualSpacing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 xml:space="preserve">  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47D114" w14:textId="77777777" w:rsidR="00FD7B4E" w:rsidRDefault="00FD7B4E" w:rsidP="00C56BB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2CC06A" w14:textId="77777777" w:rsidR="00FD7B4E" w:rsidRDefault="00FD7B4E" w:rsidP="00C56BB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 (100)</w:t>
            </w:r>
          </w:p>
          <w:p w14:paraId="5ADE554F" w14:textId="77777777" w:rsidR="00FD7B4E" w:rsidRDefault="00FD7B4E" w:rsidP="00C56BB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 (0)</w:t>
            </w:r>
          </w:p>
        </w:tc>
        <w:tc>
          <w:tcPr>
            <w:tcW w:w="1861" w:type="dxa"/>
            <w:shd w:val="clear" w:color="auto" w:fill="auto"/>
          </w:tcPr>
          <w:p w14:paraId="1E7B9763" w14:textId="77777777" w:rsidR="00FD7B4E" w:rsidRDefault="00FD7B4E" w:rsidP="00C56BB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6B62B9" w14:textId="77777777" w:rsidR="00FD7B4E" w:rsidRDefault="00FD7B4E" w:rsidP="00C56BB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 (80)</w:t>
            </w:r>
          </w:p>
          <w:p w14:paraId="60B6F7B2" w14:textId="77777777" w:rsidR="00FD7B4E" w:rsidRDefault="00FD7B4E" w:rsidP="00C56BB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(20)</w:t>
            </w:r>
          </w:p>
        </w:tc>
        <w:tc>
          <w:tcPr>
            <w:tcW w:w="1019" w:type="dxa"/>
            <w:shd w:val="clear" w:color="auto" w:fill="auto"/>
            <w:hideMark/>
          </w:tcPr>
          <w:p w14:paraId="6649531C" w14:textId="77777777" w:rsidR="00FD7B4E" w:rsidRDefault="00FD7B4E" w:rsidP="00C56BB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0.379</w:t>
            </w:r>
          </w:p>
        </w:tc>
      </w:tr>
      <w:tr w:rsidR="00FD7B4E" w14:paraId="0B2371F0" w14:textId="77777777" w:rsidTr="00C5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976C77" w14:textId="77777777" w:rsidR="00FD7B4E" w:rsidRDefault="00FD7B4E" w:rsidP="00C56BB0">
            <w:pPr>
              <w:contextualSpacing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CCI, n (%)</w:t>
            </w:r>
          </w:p>
          <w:p w14:paraId="2128EAC6" w14:textId="77777777" w:rsidR="00FD7B4E" w:rsidRDefault="00FD7B4E" w:rsidP="00C56BB0">
            <w:pPr>
              <w:contextualSpacing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2-4</w:t>
            </w:r>
          </w:p>
          <w:p w14:paraId="39C363BB" w14:textId="77777777" w:rsidR="00FD7B4E" w:rsidRDefault="00FD7B4E" w:rsidP="00C56BB0">
            <w:pPr>
              <w:contextualSpacing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&gt;4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D5C072" w14:textId="77777777" w:rsidR="00FD7B4E" w:rsidRDefault="00FD7B4E" w:rsidP="00C56BB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44A223" w14:textId="77777777" w:rsidR="00FD7B4E" w:rsidRDefault="00FD7B4E" w:rsidP="00C56BB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(16.7)</w:t>
            </w:r>
          </w:p>
          <w:p w14:paraId="2A0D18EB" w14:textId="77777777" w:rsidR="00FD7B4E" w:rsidRDefault="00FD7B4E" w:rsidP="00C56BB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(83.3)</w:t>
            </w:r>
          </w:p>
        </w:tc>
        <w:tc>
          <w:tcPr>
            <w:tcW w:w="1861" w:type="dxa"/>
            <w:shd w:val="clear" w:color="auto" w:fill="auto"/>
          </w:tcPr>
          <w:p w14:paraId="5381C11E" w14:textId="77777777" w:rsidR="00FD7B4E" w:rsidRDefault="00FD7B4E" w:rsidP="00C56BB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3DA7C42" w14:textId="77777777" w:rsidR="00FD7B4E" w:rsidRDefault="00FD7B4E" w:rsidP="00C56BB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(30)</w:t>
            </w:r>
          </w:p>
          <w:p w14:paraId="5FDDBA14" w14:textId="77777777" w:rsidR="00FD7B4E" w:rsidRDefault="00FD7B4E" w:rsidP="00C56BB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 (70)</w:t>
            </w:r>
          </w:p>
        </w:tc>
        <w:tc>
          <w:tcPr>
            <w:tcW w:w="1019" w:type="dxa"/>
            <w:shd w:val="clear" w:color="auto" w:fill="auto"/>
            <w:hideMark/>
          </w:tcPr>
          <w:p w14:paraId="583883C1" w14:textId="77777777" w:rsidR="00FD7B4E" w:rsidRDefault="00FD7B4E" w:rsidP="00C56BB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0.816</w:t>
            </w:r>
          </w:p>
        </w:tc>
      </w:tr>
      <w:tr w:rsidR="00FD7B4E" w14:paraId="770D60B2" w14:textId="77777777" w:rsidTr="00C56B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D6AA19" w14:textId="77777777" w:rsidR="00FD7B4E" w:rsidRPr="00FD7B4E" w:rsidRDefault="00FD7B4E" w:rsidP="00C56BB0">
            <w:pPr>
              <w:contextualSpacing/>
              <w:rPr>
                <w:b w:val="0"/>
                <w:bCs w:val="0"/>
                <w:caps w:val="0"/>
                <w:lang w:val="fr-FR"/>
              </w:rPr>
            </w:pPr>
            <w:r w:rsidRPr="00FD7B4E">
              <w:rPr>
                <w:b w:val="0"/>
                <w:bCs w:val="0"/>
                <w:caps w:val="0"/>
                <w:lang w:val="fr-FR"/>
              </w:rPr>
              <w:t xml:space="preserve">Inguinal </w:t>
            </w:r>
            <w:proofErr w:type="spellStart"/>
            <w:r w:rsidRPr="00FD7B4E">
              <w:rPr>
                <w:b w:val="0"/>
                <w:bCs w:val="0"/>
                <w:caps w:val="0"/>
                <w:lang w:val="fr-FR"/>
              </w:rPr>
              <w:t>Lymph</w:t>
            </w:r>
            <w:proofErr w:type="spellEnd"/>
            <w:r w:rsidRPr="00FD7B4E">
              <w:rPr>
                <w:b w:val="0"/>
                <w:bCs w:val="0"/>
                <w:caps w:val="0"/>
                <w:lang w:val="fr-FR"/>
              </w:rPr>
              <w:t xml:space="preserve"> </w:t>
            </w:r>
            <w:proofErr w:type="spellStart"/>
            <w:r w:rsidRPr="00FD7B4E">
              <w:rPr>
                <w:b w:val="0"/>
                <w:bCs w:val="0"/>
                <w:caps w:val="0"/>
                <w:lang w:val="fr-FR"/>
              </w:rPr>
              <w:t>Node</w:t>
            </w:r>
            <w:proofErr w:type="spellEnd"/>
            <w:r w:rsidRPr="00FD7B4E">
              <w:rPr>
                <w:b w:val="0"/>
                <w:bCs w:val="0"/>
                <w:caps w:val="0"/>
                <w:lang w:val="fr-FR"/>
              </w:rPr>
              <w:t xml:space="preserve"> </w:t>
            </w:r>
            <w:proofErr w:type="spellStart"/>
            <w:r w:rsidRPr="00FD7B4E">
              <w:rPr>
                <w:b w:val="0"/>
                <w:bCs w:val="0"/>
                <w:caps w:val="0"/>
                <w:lang w:val="fr-FR"/>
              </w:rPr>
              <w:t>Extent</w:t>
            </w:r>
            <w:proofErr w:type="spellEnd"/>
            <w:r w:rsidRPr="00FD7B4E">
              <w:rPr>
                <w:b w:val="0"/>
                <w:bCs w:val="0"/>
                <w:caps w:val="0"/>
                <w:lang w:val="fr-FR"/>
              </w:rPr>
              <w:t>, n (%)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487DD6" w14:textId="77777777" w:rsidR="00FD7B4E" w:rsidRPr="00FD7B4E" w:rsidRDefault="00FD7B4E" w:rsidP="00C56BB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861" w:type="dxa"/>
            <w:shd w:val="clear" w:color="auto" w:fill="auto"/>
          </w:tcPr>
          <w:p w14:paraId="57106524" w14:textId="77777777" w:rsidR="00FD7B4E" w:rsidRPr="00FD7B4E" w:rsidRDefault="00FD7B4E" w:rsidP="00C56BB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019" w:type="dxa"/>
            <w:shd w:val="clear" w:color="auto" w:fill="auto"/>
            <w:hideMark/>
          </w:tcPr>
          <w:p w14:paraId="2B04ED39" w14:textId="77777777" w:rsidR="00FD7B4E" w:rsidRDefault="00FD7B4E" w:rsidP="00C56BB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0.062</w:t>
            </w:r>
          </w:p>
        </w:tc>
      </w:tr>
      <w:tr w:rsidR="00FD7B4E" w14:paraId="7FB5B0D5" w14:textId="77777777" w:rsidTr="00C5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438752" w14:textId="77777777" w:rsidR="00FD7B4E" w:rsidRDefault="00FD7B4E" w:rsidP="00C56BB0">
            <w:pPr>
              <w:contextualSpacing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 xml:space="preserve">  Unilateral Superficial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AB3BF7" w14:textId="77777777" w:rsidR="00FD7B4E" w:rsidRDefault="00FD7B4E" w:rsidP="00C56BB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(8.3)</w:t>
            </w:r>
          </w:p>
        </w:tc>
        <w:tc>
          <w:tcPr>
            <w:tcW w:w="1861" w:type="dxa"/>
            <w:shd w:val="clear" w:color="auto" w:fill="auto"/>
            <w:hideMark/>
          </w:tcPr>
          <w:p w14:paraId="48285124" w14:textId="77777777" w:rsidR="00FD7B4E" w:rsidRDefault="00FD7B4E" w:rsidP="00C56BB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 (0)</w:t>
            </w:r>
          </w:p>
        </w:tc>
        <w:tc>
          <w:tcPr>
            <w:tcW w:w="1019" w:type="dxa"/>
            <w:shd w:val="clear" w:color="auto" w:fill="auto"/>
          </w:tcPr>
          <w:p w14:paraId="4DBDA6D2" w14:textId="77777777" w:rsidR="00FD7B4E" w:rsidRDefault="00FD7B4E" w:rsidP="00C56BB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7B4E" w14:paraId="342E71C9" w14:textId="77777777" w:rsidTr="00C56B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4DE6D1" w14:textId="77777777" w:rsidR="00FD7B4E" w:rsidRDefault="00FD7B4E" w:rsidP="00C56BB0">
            <w:pPr>
              <w:contextualSpacing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 xml:space="preserve">  Unilateral Superficial + Bilateral Pelvic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9CE17A" w14:textId="77777777" w:rsidR="00FD7B4E" w:rsidRDefault="00FD7B4E" w:rsidP="00C56BB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(8.3)</w:t>
            </w:r>
          </w:p>
        </w:tc>
        <w:tc>
          <w:tcPr>
            <w:tcW w:w="1861" w:type="dxa"/>
            <w:shd w:val="clear" w:color="auto" w:fill="auto"/>
            <w:hideMark/>
          </w:tcPr>
          <w:p w14:paraId="2082E169" w14:textId="77777777" w:rsidR="00FD7B4E" w:rsidRDefault="00FD7B4E" w:rsidP="00C56BB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 (0)</w:t>
            </w:r>
          </w:p>
        </w:tc>
        <w:tc>
          <w:tcPr>
            <w:tcW w:w="1019" w:type="dxa"/>
            <w:shd w:val="clear" w:color="auto" w:fill="auto"/>
          </w:tcPr>
          <w:p w14:paraId="580E35AF" w14:textId="77777777" w:rsidR="00FD7B4E" w:rsidRDefault="00FD7B4E" w:rsidP="00C56BB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7B4E" w14:paraId="4729B039" w14:textId="77777777" w:rsidTr="00C5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D0057B" w14:textId="77777777" w:rsidR="00FD7B4E" w:rsidRDefault="00FD7B4E" w:rsidP="00C56BB0">
            <w:pPr>
              <w:contextualSpacing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 xml:space="preserve">  Bilateral Superficial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B6F3B3D" w14:textId="77777777" w:rsidR="00FD7B4E" w:rsidRDefault="00FD7B4E" w:rsidP="00C56BB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 (66.7)</w:t>
            </w:r>
          </w:p>
        </w:tc>
        <w:tc>
          <w:tcPr>
            <w:tcW w:w="1861" w:type="dxa"/>
            <w:shd w:val="clear" w:color="auto" w:fill="auto"/>
            <w:hideMark/>
          </w:tcPr>
          <w:p w14:paraId="2540813B" w14:textId="77777777" w:rsidR="00FD7B4E" w:rsidRDefault="00FD7B4E" w:rsidP="00C56BB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(30)</w:t>
            </w:r>
          </w:p>
        </w:tc>
        <w:tc>
          <w:tcPr>
            <w:tcW w:w="1019" w:type="dxa"/>
            <w:shd w:val="clear" w:color="auto" w:fill="auto"/>
          </w:tcPr>
          <w:p w14:paraId="36AA87D4" w14:textId="77777777" w:rsidR="00FD7B4E" w:rsidRDefault="00FD7B4E" w:rsidP="00C56BB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7B4E" w14:paraId="6F793FCC" w14:textId="77777777" w:rsidTr="00C56B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5A5D3D" w14:textId="77777777" w:rsidR="00FD7B4E" w:rsidRDefault="00FD7B4E" w:rsidP="00C56BB0">
            <w:pPr>
              <w:contextualSpacing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 xml:space="preserve">  Bilateral Superficial + Unilateral Deep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6B7C188" w14:textId="77777777" w:rsidR="00FD7B4E" w:rsidRDefault="00FD7B4E" w:rsidP="00C56BB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 (0)</w:t>
            </w:r>
          </w:p>
        </w:tc>
        <w:tc>
          <w:tcPr>
            <w:tcW w:w="1861" w:type="dxa"/>
            <w:shd w:val="clear" w:color="auto" w:fill="auto"/>
            <w:hideMark/>
          </w:tcPr>
          <w:p w14:paraId="2288461D" w14:textId="77777777" w:rsidR="00FD7B4E" w:rsidRDefault="00FD7B4E" w:rsidP="00C56BB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 (40)</w:t>
            </w:r>
          </w:p>
        </w:tc>
        <w:tc>
          <w:tcPr>
            <w:tcW w:w="1019" w:type="dxa"/>
            <w:shd w:val="clear" w:color="auto" w:fill="auto"/>
          </w:tcPr>
          <w:p w14:paraId="60F699DB" w14:textId="77777777" w:rsidR="00FD7B4E" w:rsidRDefault="00FD7B4E" w:rsidP="00C56BB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7B4E" w14:paraId="0AA7C468" w14:textId="77777777" w:rsidTr="00C5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915BC4" w14:textId="77777777" w:rsidR="00FD7B4E" w:rsidRDefault="00FD7B4E" w:rsidP="00C56BB0">
            <w:pPr>
              <w:contextualSpacing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 xml:space="preserve">  Bilateral Superficial + Bilateral Deep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87A1BFB" w14:textId="77777777" w:rsidR="00FD7B4E" w:rsidRDefault="00FD7B4E" w:rsidP="00C56BB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(16.7)</w:t>
            </w:r>
          </w:p>
        </w:tc>
        <w:tc>
          <w:tcPr>
            <w:tcW w:w="1861" w:type="dxa"/>
            <w:shd w:val="clear" w:color="auto" w:fill="auto"/>
            <w:hideMark/>
          </w:tcPr>
          <w:p w14:paraId="7F906BB5" w14:textId="77777777" w:rsidR="00FD7B4E" w:rsidRDefault="00FD7B4E" w:rsidP="00C56BB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(10.0)</w:t>
            </w:r>
          </w:p>
        </w:tc>
        <w:tc>
          <w:tcPr>
            <w:tcW w:w="1019" w:type="dxa"/>
            <w:shd w:val="clear" w:color="auto" w:fill="auto"/>
          </w:tcPr>
          <w:p w14:paraId="628104F3" w14:textId="77777777" w:rsidR="00FD7B4E" w:rsidRDefault="00FD7B4E" w:rsidP="00C56BB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7B4E" w14:paraId="09BE4D70" w14:textId="77777777" w:rsidTr="00C56B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26935C" w14:textId="77777777" w:rsidR="00FD7B4E" w:rsidRDefault="00FD7B4E" w:rsidP="00C56BB0">
            <w:pPr>
              <w:contextualSpacing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 xml:space="preserve">  Bilateral Superficial + Bilateral Deep + Bilateral Pelvic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F01880" w14:textId="77777777" w:rsidR="00FD7B4E" w:rsidRDefault="00FD7B4E" w:rsidP="00C56BB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 (0)</w:t>
            </w:r>
          </w:p>
        </w:tc>
        <w:tc>
          <w:tcPr>
            <w:tcW w:w="1861" w:type="dxa"/>
            <w:shd w:val="clear" w:color="auto" w:fill="auto"/>
            <w:hideMark/>
          </w:tcPr>
          <w:p w14:paraId="58E8A570" w14:textId="77777777" w:rsidR="00FD7B4E" w:rsidRDefault="00FD7B4E" w:rsidP="00C56BB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(20.0)</w:t>
            </w:r>
          </w:p>
        </w:tc>
        <w:tc>
          <w:tcPr>
            <w:tcW w:w="1019" w:type="dxa"/>
            <w:shd w:val="clear" w:color="auto" w:fill="auto"/>
          </w:tcPr>
          <w:p w14:paraId="701FA9B4" w14:textId="77777777" w:rsidR="00FD7B4E" w:rsidRDefault="00FD7B4E" w:rsidP="00C56BB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7B4E" w14:paraId="5D2BDCC1" w14:textId="77777777" w:rsidTr="00C5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AD7CA7" w14:textId="77777777" w:rsidR="00FD7B4E" w:rsidRDefault="00FD7B4E" w:rsidP="00C56BB0">
            <w:pPr>
              <w:contextualSpacing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Sartorius Flap Used, n (%)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9410FF" w14:textId="77777777" w:rsidR="00FD7B4E" w:rsidRDefault="00FD7B4E" w:rsidP="00C56BB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1" w:type="dxa"/>
            <w:shd w:val="clear" w:color="auto" w:fill="auto"/>
          </w:tcPr>
          <w:p w14:paraId="415CE9EB" w14:textId="77777777" w:rsidR="00FD7B4E" w:rsidRDefault="00FD7B4E" w:rsidP="00C56BB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9" w:type="dxa"/>
            <w:shd w:val="clear" w:color="auto" w:fill="auto"/>
          </w:tcPr>
          <w:p w14:paraId="2486A9C6" w14:textId="77777777" w:rsidR="00FD7B4E" w:rsidRDefault="00FD7B4E" w:rsidP="00C56BB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7B4E" w14:paraId="702CEDA8" w14:textId="77777777" w:rsidTr="00C56B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C0D16B" w14:textId="77777777" w:rsidR="00FD7B4E" w:rsidRDefault="00FD7B4E" w:rsidP="00C56BB0">
            <w:pPr>
              <w:contextualSpacing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 xml:space="preserve">   None Used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E2EF8FE" w14:textId="77777777" w:rsidR="00FD7B4E" w:rsidRPr="00236199" w:rsidRDefault="00FD7B4E" w:rsidP="00C56BB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36199">
              <w:rPr>
                <w:b/>
              </w:rPr>
              <w:t>10 (83.3)</w:t>
            </w:r>
          </w:p>
        </w:tc>
        <w:tc>
          <w:tcPr>
            <w:tcW w:w="1861" w:type="dxa"/>
            <w:shd w:val="clear" w:color="auto" w:fill="auto"/>
            <w:hideMark/>
          </w:tcPr>
          <w:p w14:paraId="4B1323AE" w14:textId="77777777" w:rsidR="00FD7B4E" w:rsidRPr="00236199" w:rsidRDefault="00FD7B4E" w:rsidP="00C56BB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36199">
              <w:rPr>
                <w:b/>
              </w:rPr>
              <w:t>3 (30)</w:t>
            </w:r>
          </w:p>
        </w:tc>
        <w:tc>
          <w:tcPr>
            <w:tcW w:w="1019" w:type="dxa"/>
            <w:shd w:val="clear" w:color="auto" w:fill="auto"/>
            <w:hideMark/>
          </w:tcPr>
          <w:p w14:paraId="384CAA45" w14:textId="77777777" w:rsidR="00FD7B4E" w:rsidRPr="00236199" w:rsidRDefault="00FD7B4E" w:rsidP="00C56BB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36199">
              <w:rPr>
                <w:b/>
              </w:rPr>
              <w:t>0.035</w:t>
            </w:r>
          </w:p>
        </w:tc>
      </w:tr>
      <w:tr w:rsidR="00FD7B4E" w14:paraId="6F14EA55" w14:textId="77777777" w:rsidTr="00C5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A64902" w14:textId="77777777" w:rsidR="00FD7B4E" w:rsidRDefault="00FD7B4E" w:rsidP="00C56BB0">
            <w:pPr>
              <w:contextualSpacing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 xml:space="preserve">   Unilateral Flap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44B98AF" w14:textId="77777777" w:rsidR="00FD7B4E" w:rsidRDefault="00FD7B4E" w:rsidP="00C56BB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 (0)</w:t>
            </w:r>
          </w:p>
        </w:tc>
        <w:tc>
          <w:tcPr>
            <w:tcW w:w="1861" w:type="dxa"/>
            <w:shd w:val="clear" w:color="auto" w:fill="auto"/>
            <w:hideMark/>
          </w:tcPr>
          <w:p w14:paraId="532D4BF0" w14:textId="77777777" w:rsidR="00FD7B4E" w:rsidRDefault="00FD7B4E" w:rsidP="00C56BB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 (40)</w:t>
            </w:r>
          </w:p>
        </w:tc>
        <w:tc>
          <w:tcPr>
            <w:tcW w:w="1019" w:type="dxa"/>
            <w:shd w:val="clear" w:color="auto" w:fill="auto"/>
          </w:tcPr>
          <w:p w14:paraId="0BC71247" w14:textId="77777777" w:rsidR="00FD7B4E" w:rsidRDefault="00FD7B4E" w:rsidP="00C56BB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7B4E" w14:paraId="66A734C4" w14:textId="77777777" w:rsidTr="00C56B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6EB618" w14:textId="77777777" w:rsidR="00FD7B4E" w:rsidRDefault="00FD7B4E" w:rsidP="00C56BB0">
            <w:pPr>
              <w:contextualSpacing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 xml:space="preserve">   Bilateral Flap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24C69E6" w14:textId="77777777" w:rsidR="00FD7B4E" w:rsidRDefault="00FD7B4E" w:rsidP="00C56BB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(16.7)</w:t>
            </w:r>
          </w:p>
        </w:tc>
        <w:tc>
          <w:tcPr>
            <w:tcW w:w="1861" w:type="dxa"/>
            <w:shd w:val="clear" w:color="auto" w:fill="auto"/>
            <w:hideMark/>
          </w:tcPr>
          <w:p w14:paraId="4887525A" w14:textId="77777777" w:rsidR="00FD7B4E" w:rsidRDefault="00FD7B4E" w:rsidP="00C56BB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(30)</w:t>
            </w:r>
          </w:p>
        </w:tc>
        <w:tc>
          <w:tcPr>
            <w:tcW w:w="1019" w:type="dxa"/>
            <w:shd w:val="clear" w:color="auto" w:fill="auto"/>
          </w:tcPr>
          <w:p w14:paraId="0A6F3093" w14:textId="77777777" w:rsidR="00FD7B4E" w:rsidRDefault="00FD7B4E" w:rsidP="00C56BB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7B4E" w14:paraId="444462F5" w14:textId="77777777" w:rsidTr="00C5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A03A57" w14:textId="77777777" w:rsidR="00FD7B4E" w:rsidRDefault="00FD7B4E" w:rsidP="00C56BB0">
            <w:pPr>
              <w:contextualSpacing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Median Inguinal Lymph Node (IQR)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EAEE1B" w14:textId="77777777" w:rsidR="00FD7B4E" w:rsidRDefault="00FD7B4E" w:rsidP="00C56BB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 (7 – 22)</w:t>
            </w:r>
          </w:p>
        </w:tc>
        <w:tc>
          <w:tcPr>
            <w:tcW w:w="1861" w:type="dxa"/>
            <w:shd w:val="clear" w:color="auto" w:fill="auto"/>
            <w:hideMark/>
          </w:tcPr>
          <w:p w14:paraId="07BD34C3" w14:textId="77777777" w:rsidR="00FD7B4E" w:rsidRDefault="00FD7B4E" w:rsidP="00C56BB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 (15 – 22)</w:t>
            </w:r>
          </w:p>
        </w:tc>
        <w:tc>
          <w:tcPr>
            <w:tcW w:w="1019" w:type="dxa"/>
            <w:shd w:val="clear" w:color="auto" w:fill="auto"/>
            <w:hideMark/>
          </w:tcPr>
          <w:p w14:paraId="009DE41A" w14:textId="77777777" w:rsidR="00FD7B4E" w:rsidRDefault="00FD7B4E" w:rsidP="00C56BB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0.509</w:t>
            </w:r>
          </w:p>
        </w:tc>
      </w:tr>
      <w:tr w:rsidR="00FD7B4E" w14:paraId="209547F5" w14:textId="77777777" w:rsidTr="00C56B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951C9C" w14:textId="77777777" w:rsidR="00FD7B4E" w:rsidRDefault="00FD7B4E" w:rsidP="00C56BB0">
            <w:pPr>
              <w:contextualSpacing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Perioperative Cisplatin, n (%)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77562E" w14:textId="77777777" w:rsidR="00FD7B4E" w:rsidRDefault="00FD7B4E" w:rsidP="00C56BB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1" w:type="dxa"/>
            <w:shd w:val="clear" w:color="auto" w:fill="auto"/>
          </w:tcPr>
          <w:p w14:paraId="4231DD74" w14:textId="77777777" w:rsidR="00FD7B4E" w:rsidRDefault="00FD7B4E" w:rsidP="00C56BB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9" w:type="dxa"/>
            <w:shd w:val="clear" w:color="auto" w:fill="auto"/>
            <w:hideMark/>
          </w:tcPr>
          <w:p w14:paraId="0E099491" w14:textId="77777777" w:rsidR="00FD7B4E" w:rsidRDefault="00FD7B4E" w:rsidP="00C56BB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1.000</w:t>
            </w:r>
          </w:p>
        </w:tc>
      </w:tr>
      <w:tr w:rsidR="00FD7B4E" w14:paraId="62101508" w14:textId="77777777" w:rsidTr="00C5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F64E35" w14:textId="77777777" w:rsidR="00FD7B4E" w:rsidRDefault="00FD7B4E" w:rsidP="00C56BB0">
            <w:pPr>
              <w:contextualSpacing/>
              <w:rPr>
                <w:b w:val="0"/>
                <w:bCs w:val="0"/>
                <w:caps w:val="0"/>
              </w:rPr>
            </w:pPr>
            <w:r>
              <w:rPr>
                <w:caps w:val="0"/>
              </w:rPr>
              <w:t xml:space="preserve">   </w:t>
            </w:r>
            <w:r>
              <w:rPr>
                <w:b w:val="0"/>
                <w:bCs w:val="0"/>
                <w:caps w:val="0"/>
              </w:rPr>
              <w:t>No Perioperative Cisplatin Administered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92316AE" w14:textId="77777777" w:rsidR="00FD7B4E" w:rsidRDefault="00FD7B4E" w:rsidP="00C56BB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 (75)</w:t>
            </w:r>
          </w:p>
        </w:tc>
        <w:tc>
          <w:tcPr>
            <w:tcW w:w="1861" w:type="dxa"/>
            <w:shd w:val="clear" w:color="auto" w:fill="auto"/>
            <w:hideMark/>
          </w:tcPr>
          <w:p w14:paraId="7229D95D" w14:textId="77777777" w:rsidR="00FD7B4E" w:rsidRDefault="00FD7B4E" w:rsidP="00C56BB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 (70)</w:t>
            </w:r>
          </w:p>
        </w:tc>
        <w:tc>
          <w:tcPr>
            <w:tcW w:w="1019" w:type="dxa"/>
            <w:shd w:val="clear" w:color="auto" w:fill="auto"/>
          </w:tcPr>
          <w:p w14:paraId="4A84C1EA" w14:textId="77777777" w:rsidR="00FD7B4E" w:rsidRDefault="00FD7B4E" w:rsidP="00C56BB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7B4E" w14:paraId="20C2946F" w14:textId="77777777" w:rsidTr="00C56B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03CABF" w14:textId="77777777" w:rsidR="00FD7B4E" w:rsidRDefault="00FD7B4E" w:rsidP="00C56BB0">
            <w:pPr>
              <w:contextualSpacing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 xml:space="preserve">   Neoadjuvant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285B803" w14:textId="77777777" w:rsidR="00FD7B4E" w:rsidRDefault="00FD7B4E" w:rsidP="00C56BB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(25)</w:t>
            </w:r>
          </w:p>
        </w:tc>
        <w:tc>
          <w:tcPr>
            <w:tcW w:w="1861" w:type="dxa"/>
            <w:shd w:val="clear" w:color="auto" w:fill="auto"/>
            <w:hideMark/>
          </w:tcPr>
          <w:p w14:paraId="2EF10E87" w14:textId="77777777" w:rsidR="00FD7B4E" w:rsidRDefault="00FD7B4E" w:rsidP="00C56BB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(20)</w:t>
            </w:r>
          </w:p>
        </w:tc>
        <w:tc>
          <w:tcPr>
            <w:tcW w:w="1019" w:type="dxa"/>
            <w:shd w:val="clear" w:color="auto" w:fill="auto"/>
          </w:tcPr>
          <w:p w14:paraId="70C716CC" w14:textId="77777777" w:rsidR="00FD7B4E" w:rsidRDefault="00FD7B4E" w:rsidP="00C56BB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7B4E" w14:paraId="15105DAA" w14:textId="77777777" w:rsidTr="00C5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C537C5" w14:textId="77777777" w:rsidR="00FD7B4E" w:rsidRDefault="00FD7B4E" w:rsidP="00C56BB0">
            <w:pPr>
              <w:contextualSpacing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 xml:space="preserve">   Adjuvant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F96B6B" w14:textId="77777777" w:rsidR="00FD7B4E" w:rsidRDefault="00FD7B4E" w:rsidP="00C56BB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 (0)</w:t>
            </w:r>
          </w:p>
        </w:tc>
        <w:tc>
          <w:tcPr>
            <w:tcW w:w="1861" w:type="dxa"/>
            <w:shd w:val="clear" w:color="auto" w:fill="auto"/>
            <w:hideMark/>
          </w:tcPr>
          <w:p w14:paraId="3E9A9C19" w14:textId="77777777" w:rsidR="00FD7B4E" w:rsidRDefault="00FD7B4E" w:rsidP="00C56BB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(10)</w:t>
            </w:r>
          </w:p>
        </w:tc>
        <w:tc>
          <w:tcPr>
            <w:tcW w:w="1019" w:type="dxa"/>
            <w:shd w:val="clear" w:color="auto" w:fill="auto"/>
          </w:tcPr>
          <w:p w14:paraId="4C6335B6" w14:textId="77777777" w:rsidR="00FD7B4E" w:rsidRDefault="00FD7B4E" w:rsidP="00C56BB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7B4E" w14:paraId="0EAC23F1" w14:textId="77777777" w:rsidTr="00C56B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5EE5E" w14:textId="77777777" w:rsidR="00FD7B4E" w:rsidRDefault="00FD7B4E" w:rsidP="00C56BB0">
            <w:pPr>
              <w:contextualSpacing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30-day ILND-related Complication, n (%)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F65B0D" w14:textId="77777777" w:rsidR="00FD7B4E" w:rsidRDefault="00FD7B4E" w:rsidP="00C56BB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(27.3)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0FBF76" w14:textId="77777777" w:rsidR="00FD7B4E" w:rsidRDefault="00FD7B4E" w:rsidP="00C56BB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 (60)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31057B" w14:textId="77777777" w:rsidR="00FD7B4E" w:rsidRDefault="00FD7B4E" w:rsidP="00C56BB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0.284</w:t>
            </w:r>
          </w:p>
        </w:tc>
      </w:tr>
      <w:tr w:rsidR="00FD7B4E" w14:paraId="730203E2" w14:textId="77777777" w:rsidTr="00C5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B895F" w14:textId="22CBFF3C" w:rsidR="00FD7B4E" w:rsidRDefault="00FD7B4E" w:rsidP="00C56BB0">
            <w:pPr>
              <w:contextualSpacing/>
              <w:rPr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sz w:val="20"/>
                <w:szCs w:val="20"/>
              </w:rPr>
              <w:t>BMI: body mass index, FMI: fat mass index, ILND: inguinal lymph node dissection, IQR: interquartile range, SMI: skeletal muscle index</w:t>
            </w:r>
            <w:r w:rsidRPr="0AB3DD3C">
              <w:rPr>
                <w:b w:val="0"/>
                <w:bCs w:val="0"/>
                <w:caps w:val="0"/>
                <w:sz w:val="20"/>
                <w:szCs w:val="20"/>
              </w:rPr>
              <w:t>, SMM: skeletal</w:t>
            </w:r>
            <w:r>
              <w:rPr>
                <w:b w:val="0"/>
                <w:bCs w:val="0"/>
                <w:caps w:val="0"/>
                <w:sz w:val="20"/>
                <w:szCs w:val="20"/>
              </w:rPr>
              <w:t xml:space="preserve"> mu</w:t>
            </w:r>
            <w:r w:rsidRPr="0AB3DD3C">
              <w:rPr>
                <w:b w:val="0"/>
                <w:bCs w:val="0"/>
                <w:caps w:val="0"/>
                <w:sz w:val="20"/>
                <w:szCs w:val="20"/>
              </w:rPr>
              <w:t>scle mass</w:t>
            </w:r>
          </w:p>
        </w:tc>
      </w:tr>
    </w:tbl>
    <w:p w14:paraId="39E51EE4" w14:textId="77777777" w:rsidR="00FD7B4E" w:rsidRDefault="00FD7B4E"/>
    <w:sectPr w:rsidR="00FD7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4E"/>
    <w:rsid w:val="00FD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1CB0F2"/>
  <w15:chartTrackingRefBased/>
  <w15:docId w15:val="{E9414698-0AA2-DF4D-81A9-276C4646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B4E"/>
    <w:pPr>
      <w:spacing w:after="160" w:line="259" w:lineRule="auto"/>
    </w:pPr>
    <w:rPr>
      <w:rFonts w:ascii="Times New Roman" w:hAnsi="Times New Roman" w:cs="Times New Roman"/>
      <w:sz w:val="22"/>
      <w:szCs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simple3">
    <w:name w:val="Plain Table 3"/>
    <w:basedOn w:val="TableauNormal"/>
    <w:uiPriority w:val="43"/>
    <w:rsid w:val="00FD7B4E"/>
    <w:rPr>
      <w:rFonts w:ascii="Times New Roman" w:hAnsi="Times New Roman" w:cs="Times New Roman"/>
      <w:sz w:val="22"/>
      <w:szCs w:val="22"/>
      <w:lang w:val="en-US"/>
    </w:r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Cassigneul</dc:creator>
  <cp:keywords/>
  <dc:description/>
  <cp:lastModifiedBy>Virginie Cassigneul</cp:lastModifiedBy>
  <cp:revision>1</cp:revision>
  <dcterms:created xsi:type="dcterms:W3CDTF">2021-06-21T03:13:00Z</dcterms:created>
  <dcterms:modified xsi:type="dcterms:W3CDTF">2021-06-21T03:15:00Z</dcterms:modified>
</cp:coreProperties>
</file>